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F358" w14:textId="77777777" w:rsidR="00B46325" w:rsidRDefault="00B46325">
      <w:pPr>
        <w:pStyle w:val="BodyText"/>
        <w:rPr>
          <w:rFonts w:ascii="Times New Roman"/>
          <w:sz w:val="20"/>
        </w:rPr>
      </w:pPr>
    </w:p>
    <w:p w14:paraId="6CE76988" w14:textId="77777777" w:rsidR="00B46325" w:rsidRDefault="00B46325">
      <w:pPr>
        <w:pStyle w:val="BodyText"/>
        <w:rPr>
          <w:rFonts w:ascii="Times New Roman"/>
          <w:sz w:val="20"/>
        </w:rPr>
      </w:pPr>
    </w:p>
    <w:p w14:paraId="053F8F43" w14:textId="77777777" w:rsidR="008419B8" w:rsidRDefault="008419B8">
      <w:pPr>
        <w:spacing w:before="229"/>
        <w:ind w:left="3333" w:right="3379" w:firstLine="250"/>
        <w:rPr>
          <w:sz w:val="24"/>
        </w:rPr>
      </w:pPr>
    </w:p>
    <w:p w14:paraId="1A515253" w14:textId="77777777" w:rsidR="00B46325" w:rsidRDefault="00B46325">
      <w:pPr>
        <w:pStyle w:val="BodyText"/>
        <w:spacing w:before="8"/>
        <w:rPr>
          <w:sz w:val="33"/>
        </w:rPr>
      </w:pPr>
    </w:p>
    <w:p w14:paraId="3CCFEA8E" w14:textId="77777777" w:rsidR="00B46325" w:rsidRDefault="005C4279">
      <w:pPr>
        <w:spacing w:before="1"/>
        <w:ind w:left="3389"/>
        <w:rPr>
          <w:b/>
          <w:sz w:val="40"/>
        </w:rPr>
      </w:pPr>
      <w:r>
        <w:rPr>
          <w:b/>
          <w:sz w:val="40"/>
          <w:u w:val="thick"/>
        </w:rPr>
        <w:t>Phase Submittal Form</w:t>
      </w:r>
    </w:p>
    <w:p w14:paraId="0F663077" w14:textId="77777777" w:rsidR="00B46325" w:rsidRDefault="00B46325">
      <w:pPr>
        <w:pStyle w:val="BodyText"/>
        <w:spacing w:before="6"/>
        <w:rPr>
          <w:b/>
          <w:sz w:val="21"/>
        </w:rPr>
      </w:pPr>
    </w:p>
    <w:p w14:paraId="5E5E07C4" w14:textId="77777777" w:rsidR="00B46325" w:rsidRDefault="005C4279">
      <w:pPr>
        <w:pStyle w:val="BodyText"/>
        <w:spacing w:before="93" w:line="247" w:lineRule="auto"/>
        <w:ind w:left="100" w:right="1194"/>
      </w:pPr>
      <w:r>
        <w:rPr>
          <w:color w:val="111111"/>
        </w:rPr>
        <w:t>The purpose of this document is to provide the applicant and the authority having jurisdiction with the information required for a phased submittal.</w:t>
      </w:r>
    </w:p>
    <w:p w14:paraId="585CCF6E" w14:textId="77777777" w:rsidR="00B46325" w:rsidRDefault="005C4279">
      <w:pPr>
        <w:pStyle w:val="ListParagraph"/>
        <w:numPr>
          <w:ilvl w:val="0"/>
          <w:numId w:val="1"/>
        </w:numPr>
        <w:tabs>
          <w:tab w:val="left" w:pos="1011"/>
        </w:tabs>
        <w:spacing w:before="106" w:line="244" w:lineRule="exact"/>
        <w:ind w:hanging="365"/>
        <w:rPr>
          <w:sz w:val="23"/>
        </w:rPr>
      </w:pPr>
      <w:r>
        <w:rPr>
          <w:sz w:val="23"/>
        </w:rPr>
        <w:t>Check each submittal item that is phased on the</w:t>
      </w:r>
      <w:r>
        <w:rPr>
          <w:spacing w:val="-4"/>
          <w:sz w:val="23"/>
        </w:rPr>
        <w:t xml:space="preserve"> </w:t>
      </w:r>
      <w:r>
        <w:rPr>
          <w:sz w:val="23"/>
        </w:rPr>
        <w:t>checklist.</w:t>
      </w:r>
    </w:p>
    <w:p w14:paraId="7B8E9802" w14:textId="77777777" w:rsidR="00B46325" w:rsidRDefault="005C4279">
      <w:pPr>
        <w:pStyle w:val="ListParagraph"/>
        <w:numPr>
          <w:ilvl w:val="0"/>
          <w:numId w:val="1"/>
        </w:numPr>
        <w:tabs>
          <w:tab w:val="left" w:pos="1011"/>
        </w:tabs>
        <w:spacing w:before="12" w:line="204" w:lineRule="auto"/>
        <w:ind w:right="116" w:hanging="350"/>
        <w:rPr>
          <w:sz w:val="23"/>
        </w:rPr>
      </w:pPr>
      <w:r>
        <w:rPr>
          <w:sz w:val="23"/>
        </w:rPr>
        <w:t xml:space="preserve">The building official is authorized to issue a permit for the construction of foundations or any other part of a building or structure before the construction documents for the whole building or structure have been submitted, provided adequate </w:t>
      </w:r>
      <w:proofErr w:type="gramStart"/>
      <w:r>
        <w:rPr>
          <w:sz w:val="23"/>
        </w:rPr>
        <w:t>information</w:t>
      </w:r>
      <w:proofErr w:type="gramEnd"/>
      <w:r>
        <w:rPr>
          <w:sz w:val="23"/>
        </w:rPr>
        <w:t xml:space="preserve"> </w:t>
      </w:r>
      <w:r>
        <w:rPr>
          <w:sz w:val="23"/>
        </w:rPr>
        <w:t xml:space="preserve">and detailed statements have been filed complying with pertinent requirements of this code. </w:t>
      </w:r>
      <w:r>
        <w:rPr>
          <w:b/>
          <w:i/>
          <w:sz w:val="23"/>
        </w:rPr>
        <w:t>The holder of such a permit for the foundation or other parts of the building or structure shall proceed at the holder’s</w:t>
      </w:r>
      <w:r>
        <w:rPr>
          <w:b/>
          <w:i/>
          <w:spacing w:val="-36"/>
          <w:sz w:val="23"/>
        </w:rPr>
        <w:t xml:space="preserve"> </w:t>
      </w:r>
      <w:r>
        <w:rPr>
          <w:b/>
          <w:i/>
          <w:sz w:val="23"/>
        </w:rPr>
        <w:t>own risk with the building operation and wi</w:t>
      </w:r>
      <w:r>
        <w:rPr>
          <w:b/>
          <w:i/>
          <w:sz w:val="23"/>
        </w:rPr>
        <w:t>thout assurance that a permit for the entire structure will be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sz w:val="23"/>
        </w:rPr>
        <w:t>granted</w:t>
      </w:r>
      <w:r>
        <w:rPr>
          <w:sz w:val="23"/>
        </w:rPr>
        <w:t>.</w:t>
      </w:r>
    </w:p>
    <w:p w14:paraId="286A77E5" w14:textId="77777777" w:rsidR="00B46325" w:rsidRDefault="005C4279">
      <w:pPr>
        <w:pStyle w:val="ListParagraph"/>
        <w:numPr>
          <w:ilvl w:val="0"/>
          <w:numId w:val="1"/>
        </w:numPr>
        <w:tabs>
          <w:tab w:val="left" w:pos="1011"/>
        </w:tabs>
        <w:spacing w:before="5" w:line="201" w:lineRule="auto"/>
        <w:ind w:right="1035" w:hanging="350"/>
        <w:rPr>
          <w:sz w:val="23"/>
        </w:rPr>
      </w:pPr>
      <w:r>
        <w:rPr>
          <w:sz w:val="23"/>
        </w:rPr>
        <w:t>Phased submittal documents and drawings must be submitted and approved prior to</w:t>
      </w:r>
      <w:r>
        <w:rPr>
          <w:spacing w:val="-31"/>
          <w:sz w:val="23"/>
        </w:rPr>
        <w:t xml:space="preserve"> </w:t>
      </w:r>
      <w:r>
        <w:rPr>
          <w:sz w:val="23"/>
        </w:rPr>
        <w:t>the construction/installation of the phased</w:t>
      </w:r>
      <w:r>
        <w:rPr>
          <w:spacing w:val="7"/>
          <w:sz w:val="23"/>
        </w:rPr>
        <w:t xml:space="preserve"> </w:t>
      </w:r>
      <w:r>
        <w:rPr>
          <w:sz w:val="23"/>
        </w:rPr>
        <w:t>item.</w:t>
      </w:r>
    </w:p>
    <w:p w14:paraId="178646B7" w14:textId="77F4B599" w:rsidR="00B46325" w:rsidRDefault="005C4279">
      <w:pPr>
        <w:pStyle w:val="ListParagraph"/>
        <w:numPr>
          <w:ilvl w:val="0"/>
          <w:numId w:val="1"/>
        </w:numPr>
        <w:tabs>
          <w:tab w:val="left" w:pos="1011"/>
        </w:tabs>
        <w:spacing w:line="205" w:lineRule="exact"/>
        <w:ind w:hanging="365"/>
        <w:rPr>
          <w:sz w:val="23"/>
        </w:rPr>
      </w:pPr>
      <w:r>
        <w:rPr>
          <w:position w:val="1"/>
          <w:sz w:val="23"/>
        </w:rPr>
        <w:t xml:space="preserve">Additional fees will </w:t>
      </w:r>
      <w:r>
        <w:rPr>
          <w:spacing w:val="2"/>
          <w:position w:val="1"/>
          <w:sz w:val="23"/>
        </w:rPr>
        <w:t xml:space="preserve">be </w:t>
      </w:r>
      <w:r>
        <w:rPr>
          <w:position w:val="1"/>
          <w:sz w:val="23"/>
        </w:rPr>
        <w:t xml:space="preserve">charged for this procedure. </w:t>
      </w:r>
      <w:r>
        <w:t>$</w:t>
      </w:r>
      <w:r w:rsidR="008419B8">
        <w:t>___</w:t>
      </w:r>
      <w:r>
        <w:t xml:space="preserve"> </w:t>
      </w:r>
      <w:r>
        <w:rPr>
          <w:position w:val="1"/>
          <w:sz w:val="23"/>
        </w:rPr>
        <w:t>minimum phasing fee plus 10% of</w:t>
      </w:r>
      <w:r>
        <w:rPr>
          <w:spacing w:val="14"/>
          <w:position w:val="1"/>
          <w:sz w:val="23"/>
        </w:rPr>
        <w:t xml:space="preserve"> </w:t>
      </w:r>
      <w:r>
        <w:rPr>
          <w:position w:val="1"/>
          <w:sz w:val="23"/>
        </w:rPr>
        <w:t>the</w:t>
      </w:r>
    </w:p>
    <w:p w14:paraId="155388A4" w14:textId="77777777" w:rsidR="00B46325" w:rsidRDefault="005C4279">
      <w:pPr>
        <w:spacing w:line="255" w:lineRule="exact"/>
        <w:ind w:left="1024"/>
        <w:rPr>
          <w:sz w:val="23"/>
        </w:rPr>
      </w:pPr>
      <w:r>
        <w:rPr>
          <w:sz w:val="23"/>
        </w:rPr>
        <w:t>total project building permit fee not to exceed $1500 for each phase.</w:t>
      </w:r>
    </w:p>
    <w:p w14:paraId="40ADAADC" w14:textId="77777777" w:rsidR="00B46325" w:rsidRDefault="00B46325">
      <w:pPr>
        <w:pStyle w:val="BodyText"/>
        <w:spacing w:before="4"/>
        <w:rPr>
          <w:sz w:val="19"/>
        </w:rPr>
      </w:pPr>
    </w:p>
    <w:p w14:paraId="61808500" w14:textId="77777777" w:rsidR="00B46325" w:rsidRDefault="005C4279">
      <w:pPr>
        <w:pStyle w:val="BodyText"/>
        <w:ind w:left="100"/>
      </w:pPr>
      <w:r>
        <w:t>Items which may be phased include, but are not limited to the following:</w:t>
      </w:r>
    </w:p>
    <w:p w14:paraId="1A7B2AFE" w14:textId="77777777" w:rsidR="00B46325" w:rsidRDefault="00B46325">
      <w:pPr>
        <w:pStyle w:val="BodyText"/>
        <w:spacing w:before="6"/>
        <w:rPr>
          <w:sz w:val="27"/>
        </w:rPr>
      </w:pPr>
    </w:p>
    <w:p w14:paraId="022D0B86" w14:textId="77777777" w:rsidR="00B46325" w:rsidRDefault="005C4279">
      <w:pPr>
        <w:tabs>
          <w:tab w:val="left" w:pos="6655"/>
        </w:tabs>
        <w:spacing w:before="92"/>
        <w:ind w:left="1024"/>
        <w:rPr>
          <w:b/>
          <w:sz w:val="24"/>
        </w:rPr>
      </w:pPr>
      <w:r>
        <w:rPr>
          <w:noProof/>
        </w:rPr>
        <w:drawing>
          <wp:inline distT="0" distB="0" distL="0" distR="0" wp14:anchorId="67415717" wp14:editId="50B6FF3F">
            <wp:extent cx="123190" cy="12318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</w:t>
      </w:r>
      <w:r>
        <w:rPr>
          <w:rFonts w:ascii="Times New Roman"/>
          <w:spacing w:val="17"/>
          <w:sz w:val="20"/>
        </w:rPr>
        <w:t xml:space="preserve"> </w:t>
      </w:r>
      <w:r>
        <w:rPr>
          <w:b/>
          <w:w w:val="110"/>
          <w:sz w:val="24"/>
        </w:rPr>
        <w:t>Phased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Item</w:t>
      </w:r>
      <w:r>
        <w:rPr>
          <w:b/>
          <w:w w:val="110"/>
          <w:sz w:val="24"/>
        </w:rPr>
        <w:tab/>
        <w:t>Date</w:t>
      </w: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492"/>
        <w:gridCol w:w="4681"/>
        <w:gridCol w:w="2069"/>
      </w:tblGrid>
      <w:tr w:rsidR="00B46325" w14:paraId="1EF663FD" w14:textId="77777777">
        <w:trPr>
          <w:trHeight w:val="275"/>
        </w:trPr>
        <w:tc>
          <w:tcPr>
            <w:tcW w:w="379" w:type="dxa"/>
          </w:tcPr>
          <w:p w14:paraId="151FBE77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7DDAAA34" w14:textId="77777777" w:rsidR="00B46325" w:rsidRDefault="005C4279">
            <w:pPr>
              <w:pStyle w:val="TableParagraph"/>
              <w:spacing w:line="256" w:lineRule="exact"/>
              <w:ind w:left="86" w:right="1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1.</w:t>
            </w:r>
          </w:p>
        </w:tc>
        <w:tc>
          <w:tcPr>
            <w:tcW w:w="4681" w:type="dxa"/>
          </w:tcPr>
          <w:p w14:paraId="48C08EF7" w14:textId="77777777" w:rsidR="00B46325" w:rsidRDefault="005C4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Foundation</w:t>
            </w:r>
          </w:p>
        </w:tc>
        <w:tc>
          <w:tcPr>
            <w:tcW w:w="2069" w:type="dxa"/>
          </w:tcPr>
          <w:p w14:paraId="1E398029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325" w14:paraId="75CE0B73" w14:textId="77777777">
        <w:trPr>
          <w:trHeight w:val="277"/>
        </w:trPr>
        <w:tc>
          <w:tcPr>
            <w:tcW w:w="379" w:type="dxa"/>
          </w:tcPr>
          <w:p w14:paraId="6D669223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13012F85" w14:textId="77777777" w:rsidR="00B46325" w:rsidRDefault="005C4279">
            <w:pPr>
              <w:pStyle w:val="TableParagraph"/>
              <w:spacing w:line="258" w:lineRule="exact"/>
              <w:ind w:left="86" w:right="1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2.</w:t>
            </w:r>
          </w:p>
        </w:tc>
        <w:tc>
          <w:tcPr>
            <w:tcW w:w="4681" w:type="dxa"/>
          </w:tcPr>
          <w:p w14:paraId="2F88BCE3" w14:textId="77777777" w:rsidR="00B46325" w:rsidRDefault="005C42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 xml:space="preserve">Shell </w:t>
            </w:r>
            <w:r>
              <w:rPr>
                <w:w w:val="110"/>
                <w:sz w:val="24"/>
              </w:rPr>
              <w:t>Building</w:t>
            </w:r>
          </w:p>
        </w:tc>
        <w:tc>
          <w:tcPr>
            <w:tcW w:w="2069" w:type="dxa"/>
          </w:tcPr>
          <w:p w14:paraId="2BC31374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325" w14:paraId="715504A4" w14:textId="77777777">
        <w:trPr>
          <w:trHeight w:val="275"/>
        </w:trPr>
        <w:tc>
          <w:tcPr>
            <w:tcW w:w="379" w:type="dxa"/>
          </w:tcPr>
          <w:p w14:paraId="7C9A3176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42687148" w14:textId="77777777" w:rsidR="00B46325" w:rsidRDefault="005C4279">
            <w:pPr>
              <w:pStyle w:val="TableParagraph"/>
              <w:spacing w:line="256" w:lineRule="exact"/>
              <w:ind w:left="86" w:right="1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3.</w:t>
            </w:r>
          </w:p>
        </w:tc>
        <w:tc>
          <w:tcPr>
            <w:tcW w:w="4681" w:type="dxa"/>
          </w:tcPr>
          <w:p w14:paraId="3BCEA2E9" w14:textId="77777777" w:rsidR="00B46325" w:rsidRDefault="005C4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Tenant Improvement #1</w:t>
            </w:r>
          </w:p>
        </w:tc>
        <w:tc>
          <w:tcPr>
            <w:tcW w:w="2069" w:type="dxa"/>
          </w:tcPr>
          <w:p w14:paraId="014C90A0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325" w14:paraId="3D68A502" w14:textId="77777777">
        <w:trPr>
          <w:trHeight w:val="275"/>
        </w:trPr>
        <w:tc>
          <w:tcPr>
            <w:tcW w:w="379" w:type="dxa"/>
          </w:tcPr>
          <w:p w14:paraId="65A00276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468B4A0D" w14:textId="77777777" w:rsidR="00B46325" w:rsidRDefault="005C4279">
            <w:pPr>
              <w:pStyle w:val="TableParagraph"/>
              <w:spacing w:line="256" w:lineRule="exact"/>
              <w:ind w:left="86" w:right="1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4.</w:t>
            </w:r>
          </w:p>
        </w:tc>
        <w:tc>
          <w:tcPr>
            <w:tcW w:w="4681" w:type="dxa"/>
          </w:tcPr>
          <w:p w14:paraId="68A49EC0" w14:textId="77777777" w:rsidR="00B46325" w:rsidRDefault="005C4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Tenant Improvement #2</w:t>
            </w:r>
          </w:p>
        </w:tc>
        <w:tc>
          <w:tcPr>
            <w:tcW w:w="2069" w:type="dxa"/>
          </w:tcPr>
          <w:p w14:paraId="0E6B1747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325" w14:paraId="3B684851" w14:textId="77777777">
        <w:trPr>
          <w:trHeight w:val="275"/>
        </w:trPr>
        <w:tc>
          <w:tcPr>
            <w:tcW w:w="379" w:type="dxa"/>
          </w:tcPr>
          <w:p w14:paraId="728F09A0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74713F66" w14:textId="77777777" w:rsidR="00B46325" w:rsidRDefault="005C4279">
            <w:pPr>
              <w:pStyle w:val="TableParagraph"/>
              <w:spacing w:line="256" w:lineRule="exact"/>
              <w:ind w:left="86" w:right="1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5.</w:t>
            </w:r>
          </w:p>
        </w:tc>
        <w:tc>
          <w:tcPr>
            <w:tcW w:w="4681" w:type="dxa"/>
          </w:tcPr>
          <w:p w14:paraId="379A2B0F" w14:textId="77777777" w:rsidR="00B46325" w:rsidRDefault="005C4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Tenant Improvements #3</w:t>
            </w:r>
          </w:p>
        </w:tc>
        <w:tc>
          <w:tcPr>
            <w:tcW w:w="2069" w:type="dxa"/>
          </w:tcPr>
          <w:p w14:paraId="3072B3CB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325" w14:paraId="7A5AFE12" w14:textId="77777777">
        <w:trPr>
          <w:trHeight w:val="275"/>
        </w:trPr>
        <w:tc>
          <w:tcPr>
            <w:tcW w:w="379" w:type="dxa"/>
          </w:tcPr>
          <w:p w14:paraId="2AAB0F8A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7F7FD8E0" w14:textId="77777777" w:rsidR="00B46325" w:rsidRDefault="005C4279">
            <w:pPr>
              <w:pStyle w:val="TableParagraph"/>
              <w:spacing w:line="256" w:lineRule="exact"/>
              <w:ind w:left="86" w:right="1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6.</w:t>
            </w:r>
          </w:p>
        </w:tc>
        <w:tc>
          <w:tcPr>
            <w:tcW w:w="4681" w:type="dxa"/>
          </w:tcPr>
          <w:p w14:paraId="66B00EF8" w14:textId="77777777" w:rsidR="00B46325" w:rsidRDefault="005C4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Tenant Improvements #4</w:t>
            </w:r>
          </w:p>
        </w:tc>
        <w:tc>
          <w:tcPr>
            <w:tcW w:w="2069" w:type="dxa"/>
          </w:tcPr>
          <w:p w14:paraId="0B3B3B34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325" w14:paraId="321F555E" w14:textId="77777777">
        <w:trPr>
          <w:trHeight w:val="275"/>
        </w:trPr>
        <w:tc>
          <w:tcPr>
            <w:tcW w:w="379" w:type="dxa"/>
          </w:tcPr>
          <w:p w14:paraId="0FD203FC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06EF8F60" w14:textId="77777777" w:rsidR="00B46325" w:rsidRDefault="005C4279">
            <w:pPr>
              <w:pStyle w:val="TableParagraph"/>
              <w:spacing w:line="256" w:lineRule="exact"/>
              <w:ind w:left="86" w:right="1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7.</w:t>
            </w:r>
          </w:p>
        </w:tc>
        <w:tc>
          <w:tcPr>
            <w:tcW w:w="4681" w:type="dxa"/>
          </w:tcPr>
          <w:p w14:paraId="2F5C0B86" w14:textId="77777777" w:rsidR="00B46325" w:rsidRDefault="005C42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Tenant Improvements #5</w:t>
            </w:r>
          </w:p>
        </w:tc>
        <w:tc>
          <w:tcPr>
            <w:tcW w:w="2069" w:type="dxa"/>
          </w:tcPr>
          <w:p w14:paraId="7932EF9D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325" w14:paraId="24F4D114" w14:textId="77777777">
        <w:trPr>
          <w:trHeight w:val="278"/>
        </w:trPr>
        <w:tc>
          <w:tcPr>
            <w:tcW w:w="379" w:type="dxa"/>
          </w:tcPr>
          <w:p w14:paraId="771AD063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5AB94C9E" w14:textId="77777777" w:rsidR="00B46325" w:rsidRDefault="005C4279">
            <w:pPr>
              <w:pStyle w:val="TableParagraph"/>
              <w:spacing w:line="258" w:lineRule="exact"/>
              <w:ind w:left="86" w:right="13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8.</w:t>
            </w:r>
          </w:p>
        </w:tc>
        <w:tc>
          <w:tcPr>
            <w:tcW w:w="4681" w:type="dxa"/>
          </w:tcPr>
          <w:p w14:paraId="11BD1D8C" w14:textId="77777777" w:rsidR="00B46325" w:rsidRDefault="005C42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Tenant Improvements #6</w:t>
            </w:r>
          </w:p>
        </w:tc>
        <w:tc>
          <w:tcPr>
            <w:tcW w:w="2069" w:type="dxa"/>
          </w:tcPr>
          <w:p w14:paraId="1F2336AA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325" w14:paraId="47324DFF" w14:textId="77777777">
        <w:trPr>
          <w:trHeight w:val="275"/>
        </w:trPr>
        <w:tc>
          <w:tcPr>
            <w:tcW w:w="379" w:type="dxa"/>
          </w:tcPr>
          <w:p w14:paraId="5F05C461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</w:tcPr>
          <w:p w14:paraId="7B4BAE74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1" w:type="dxa"/>
          </w:tcPr>
          <w:p w14:paraId="21708397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7474FD9C" w14:textId="77777777" w:rsidR="00B46325" w:rsidRDefault="00B463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E70115" w14:textId="77777777" w:rsidR="00B46325" w:rsidRDefault="00B46325">
      <w:pPr>
        <w:pStyle w:val="BodyText"/>
        <w:spacing w:before="3"/>
        <w:rPr>
          <w:b/>
          <w:sz w:val="11"/>
        </w:rPr>
      </w:pPr>
    </w:p>
    <w:p w14:paraId="0C216D7B" w14:textId="77777777" w:rsidR="00B46325" w:rsidRDefault="005C4279">
      <w:pPr>
        <w:spacing w:before="98" w:line="252" w:lineRule="auto"/>
        <w:ind w:left="820"/>
        <w:rPr>
          <w:rFonts w:ascii="Segoe UI"/>
          <w:sz w:val="16"/>
        </w:rPr>
      </w:pPr>
      <w:r>
        <w:rPr>
          <w:rFonts w:ascii="Segoe UI"/>
          <w:w w:val="99"/>
          <w:sz w:val="16"/>
          <w:shd w:val="clear" w:color="auto" w:fill="F9F9F9"/>
        </w:rPr>
        <w:t xml:space="preserve"> </w:t>
      </w:r>
      <w:r>
        <w:rPr>
          <w:rFonts w:ascii="Segoe UI"/>
          <w:spacing w:val="-23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OAR</w:t>
      </w:r>
      <w:r>
        <w:rPr>
          <w:rFonts w:ascii="Segoe UI"/>
          <w:spacing w:val="-15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918-050-0160.</w:t>
      </w:r>
      <w:r>
        <w:rPr>
          <w:rFonts w:ascii="Segoe UI"/>
          <w:spacing w:val="17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A</w:t>
      </w:r>
      <w:r>
        <w:rPr>
          <w:rFonts w:ascii="Segoe UI"/>
          <w:spacing w:val="-13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municipal</w:t>
      </w:r>
      <w:r>
        <w:rPr>
          <w:rFonts w:ascii="Segoe UI"/>
          <w:spacing w:val="-13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plan</w:t>
      </w:r>
      <w:r>
        <w:rPr>
          <w:rFonts w:ascii="Segoe UI"/>
          <w:spacing w:val="-15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review</w:t>
      </w:r>
      <w:r>
        <w:rPr>
          <w:rFonts w:ascii="Segoe UI"/>
          <w:spacing w:val="-13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fee</w:t>
      </w:r>
      <w:r>
        <w:rPr>
          <w:rFonts w:ascii="Segoe UI"/>
          <w:spacing w:val="-14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for</w:t>
      </w:r>
      <w:r>
        <w:rPr>
          <w:rFonts w:ascii="Segoe UI"/>
          <w:spacing w:val="-14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a</w:t>
      </w:r>
      <w:r>
        <w:rPr>
          <w:rFonts w:ascii="Segoe UI"/>
          <w:spacing w:val="-15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phased</w:t>
      </w:r>
      <w:r>
        <w:rPr>
          <w:rFonts w:ascii="Segoe UI"/>
          <w:spacing w:val="-15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project</w:t>
      </w:r>
      <w:r>
        <w:rPr>
          <w:rFonts w:ascii="Segoe UI"/>
          <w:spacing w:val="-17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is</w:t>
      </w:r>
      <w:r>
        <w:rPr>
          <w:rFonts w:ascii="Segoe UI"/>
          <w:spacing w:val="-14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based</w:t>
      </w:r>
      <w:r>
        <w:rPr>
          <w:rFonts w:ascii="Segoe UI"/>
          <w:spacing w:val="-13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on</w:t>
      </w:r>
      <w:r>
        <w:rPr>
          <w:rFonts w:ascii="Segoe UI"/>
          <w:spacing w:val="-15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a</w:t>
      </w:r>
      <w:r>
        <w:rPr>
          <w:rFonts w:ascii="Segoe UI"/>
          <w:spacing w:val="-13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minimum</w:t>
      </w:r>
      <w:r>
        <w:rPr>
          <w:rFonts w:ascii="Segoe UI"/>
          <w:spacing w:val="-12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phasing</w:t>
      </w:r>
      <w:r>
        <w:rPr>
          <w:rFonts w:ascii="Segoe UI"/>
          <w:spacing w:val="-16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fee,</w:t>
      </w:r>
      <w:r>
        <w:rPr>
          <w:rFonts w:ascii="Segoe UI"/>
          <w:spacing w:val="-16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determined</w:t>
      </w:r>
      <w:r>
        <w:rPr>
          <w:rFonts w:ascii="Segoe UI"/>
          <w:spacing w:val="-14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by</w:t>
      </w:r>
      <w:r>
        <w:rPr>
          <w:rFonts w:ascii="Segoe UI"/>
          <w:spacing w:val="-11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the</w:t>
      </w:r>
      <w:r>
        <w:rPr>
          <w:rFonts w:ascii="Segoe UI"/>
          <w:spacing w:val="-13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municipality,</w:t>
      </w:r>
      <w:r>
        <w:rPr>
          <w:rFonts w:ascii="Segoe UI"/>
          <w:spacing w:val="-14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plus</w:t>
      </w:r>
      <w:r>
        <w:rPr>
          <w:rFonts w:ascii="Segoe UI"/>
          <w:spacing w:val="-18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10</w:t>
      </w:r>
      <w:r>
        <w:rPr>
          <w:rFonts w:ascii="Segoe UI"/>
          <w:sz w:val="16"/>
        </w:rPr>
        <w:t xml:space="preserve"> </w:t>
      </w:r>
      <w:r>
        <w:rPr>
          <w:rFonts w:ascii="Segoe UI"/>
          <w:sz w:val="16"/>
          <w:shd w:val="clear" w:color="auto" w:fill="F9F9F9"/>
        </w:rPr>
        <w:t>percent of the total project building permit fee not to exceed $1,500 for each</w:t>
      </w:r>
      <w:r>
        <w:rPr>
          <w:rFonts w:ascii="Segoe UI"/>
          <w:spacing w:val="-5"/>
          <w:sz w:val="16"/>
          <w:shd w:val="clear" w:color="auto" w:fill="F9F9F9"/>
        </w:rPr>
        <w:t xml:space="preserve"> </w:t>
      </w:r>
      <w:r>
        <w:rPr>
          <w:rFonts w:ascii="Segoe UI"/>
          <w:sz w:val="16"/>
          <w:shd w:val="clear" w:color="auto" w:fill="F9F9F9"/>
        </w:rPr>
        <w:t>phase.</w:t>
      </w:r>
    </w:p>
    <w:p w14:paraId="7971BC0E" w14:textId="01E7B42F" w:rsidR="00B46325" w:rsidRDefault="005C4279">
      <w:pPr>
        <w:pStyle w:val="BodyText"/>
        <w:spacing w:before="70"/>
        <w:ind w:left="270" w:right="1194" w:firstLine="9"/>
      </w:pPr>
      <w:r>
        <w:t xml:space="preserve">I certify that the above information is correct and understand that incorrect or </w:t>
      </w:r>
      <w:r>
        <w:t>missing information will cause the application to be rejected, resulting in delays for the applicant.</w:t>
      </w:r>
    </w:p>
    <w:p w14:paraId="1B486404" w14:textId="77777777" w:rsidR="00B46325" w:rsidRDefault="00B46325">
      <w:pPr>
        <w:pStyle w:val="BodyText"/>
        <w:rPr>
          <w:sz w:val="20"/>
        </w:rPr>
      </w:pPr>
    </w:p>
    <w:p w14:paraId="4331BBE7" w14:textId="77777777" w:rsidR="00B46325" w:rsidRDefault="005C4279">
      <w:pPr>
        <w:pStyle w:val="BodyText"/>
        <w:spacing w:before="8"/>
        <w:rPr>
          <w:sz w:val="16"/>
        </w:rPr>
      </w:pPr>
      <w:r>
        <w:pict w14:anchorId="176AF153">
          <v:line id="_x0000_s1027" style="position:absolute;z-index:-251658752;mso-wrap-distance-left:0;mso-wrap-distance-right:0;mso-position-horizontal-relative:page" from="39.35pt,12pt" to="295.7pt,12pt" strokecolor="#121212" strokeweight=".72pt">
            <w10:wrap type="topAndBottom" anchorx="page"/>
          </v:line>
        </w:pict>
      </w:r>
      <w:r>
        <w:pict w14:anchorId="7CB8C408">
          <v:line id="_x0000_s1026" style="position:absolute;z-index:-251657728;mso-wrap-distance-left:0;mso-wrap-distance-right:0;mso-position-horizontal-relative:page" from="345.7pt,12.15pt" to="526.45pt,12.15pt" strokecolor="#3e3e3e" strokeweight=".96pt">
            <w10:wrap type="topAndBottom" anchorx="page"/>
          </v:line>
        </w:pict>
      </w:r>
    </w:p>
    <w:p w14:paraId="66026D93" w14:textId="77777777" w:rsidR="00B46325" w:rsidRDefault="005C4279">
      <w:pPr>
        <w:pStyle w:val="BodyText"/>
        <w:tabs>
          <w:tab w:val="left" w:pos="6818"/>
        </w:tabs>
        <w:ind w:left="270"/>
      </w:pPr>
      <w:r>
        <w:t>Signature</w:t>
      </w:r>
      <w:r>
        <w:rPr>
          <w:spacing w:val="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</w:t>
      </w:r>
      <w:r>
        <w:tab/>
        <w:t>Date</w:t>
      </w:r>
    </w:p>
    <w:p w14:paraId="06328662" w14:textId="77777777" w:rsidR="00B46325" w:rsidRDefault="00B46325">
      <w:pPr>
        <w:pStyle w:val="BodyText"/>
        <w:rPr>
          <w:sz w:val="26"/>
        </w:rPr>
      </w:pPr>
    </w:p>
    <w:p w14:paraId="5B5A193E" w14:textId="77777777" w:rsidR="00B46325" w:rsidRDefault="005C4279">
      <w:pPr>
        <w:tabs>
          <w:tab w:val="left" w:pos="3806"/>
          <w:tab w:val="left" w:pos="6701"/>
          <w:tab w:val="left" w:pos="9778"/>
        </w:tabs>
        <w:spacing w:before="164"/>
        <w:ind w:left="280"/>
        <w:rPr>
          <w:sz w:val="24"/>
        </w:rPr>
      </w:pPr>
      <w:r>
        <w:rPr>
          <w:sz w:val="24"/>
        </w:rPr>
        <w:t>Total Valuation of</w:t>
      </w:r>
      <w:r>
        <w:rPr>
          <w:spacing w:val="-3"/>
          <w:sz w:val="24"/>
        </w:rPr>
        <w:t xml:space="preserve"> </w:t>
      </w:r>
      <w:r>
        <w:rPr>
          <w:sz w:val="24"/>
        </w:rPr>
        <w:t>entire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z w:val="24"/>
        </w:rPr>
        <w:tab/>
      </w:r>
      <w:r>
        <w:rPr>
          <w:sz w:val="16"/>
        </w:rPr>
        <w:t>(For office</w:t>
      </w:r>
      <w:r>
        <w:rPr>
          <w:spacing w:val="-5"/>
          <w:sz w:val="16"/>
        </w:rPr>
        <w:t xml:space="preserve"> </w:t>
      </w:r>
      <w:r>
        <w:rPr>
          <w:sz w:val="16"/>
        </w:rPr>
        <w:t>use only)</w:t>
      </w:r>
      <w:r>
        <w:rPr>
          <w:sz w:val="16"/>
        </w:rPr>
        <w:tab/>
      </w:r>
      <w:r>
        <w:rPr>
          <w:spacing w:val="-7"/>
          <w:sz w:val="24"/>
        </w:rPr>
        <w:t>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B46325">
      <w:type w:val="continuous"/>
      <w:pgSz w:w="12240" w:h="15840"/>
      <w:pgMar w:top="1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C19F8"/>
    <w:multiLevelType w:val="hybridMultilevel"/>
    <w:tmpl w:val="DEAE62D4"/>
    <w:lvl w:ilvl="0" w:tplc="D9485C80">
      <w:start w:val="1"/>
      <w:numFmt w:val="decimal"/>
      <w:lvlText w:val="%1."/>
      <w:lvlJc w:val="left"/>
      <w:pPr>
        <w:ind w:left="1024" w:hanging="351"/>
        <w:jc w:val="left"/>
      </w:pPr>
      <w:rPr>
        <w:rFonts w:ascii="Arial" w:eastAsia="Arial" w:hAnsi="Arial" w:cs="Arial" w:hint="default"/>
        <w:color w:val="111111"/>
        <w:w w:val="94"/>
        <w:sz w:val="20"/>
        <w:szCs w:val="20"/>
        <w:lang w:val="en-US" w:eastAsia="en-US" w:bidi="en-US"/>
      </w:rPr>
    </w:lvl>
    <w:lvl w:ilvl="1" w:tplc="1E3076C6">
      <w:numFmt w:val="bullet"/>
      <w:lvlText w:val="•"/>
      <w:lvlJc w:val="left"/>
      <w:pPr>
        <w:ind w:left="2018" w:hanging="351"/>
      </w:pPr>
      <w:rPr>
        <w:rFonts w:hint="default"/>
        <w:lang w:val="en-US" w:eastAsia="en-US" w:bidi="en-US"/>
      </w:rPr>
    </w:lvl>
    <w:lvl w:ilvl="2" w:tplc="25BC0502">
      <w:numFmt w:val="bullet"/>
      <w:lvlText w:val="•"/>
      <w:lvlJc w:val="left"/>
      <w:pPr>
        <w:ind w:left="3016" w:hanging="351"/>
      </w:pPr>
      <w:rPr>
        <w:rFonts w:hint="default"/>
        <w:lang w:val="en-US" w:eastAsia="en-US" w:bidi="en-US"/>
      </w:rPr>
    </w:lvl>
    <w:lvl w:ilvl="3" w:tplc="8C949764">
      <w:numFmt w:val="bullet"/>
      <w:lvlText w:val="•"/>
      <w:lvlJc w:val="left"/>
      <w:pPr>
        <w:ind w:left="4014" w:hanging="351"/>
      </w:pPr>
      <w:rPr>
        <w:rFonts w:hint="default"/>
        <w:lang w:val="en-US" w:eastAsia="en-US" w:bidi="en-US"/>
      </w:rPr>
    </w:lvl>
    <w:lvl w:ilvl="4" w:tplc="5B36BCCC">
      <w:numFmt w:val="bullet"/>
      <w:lvlText w:val="•"/>
      <w:lvlJc w:val="left"/>
      <w:pPr>
        <w:ind w:left="5012" w:hanging="351"/>
      </w:pPr>
      <w:rPr>
        <w:rFonts w:hint="default"/>
        <w:lang w:val="en-US" w:eastAsia="en-US" w:bidi="en-US"/>
      </w:rPr>
    </w:lvl>
    <w:lvl w:ilvl="5" w:tplc="52E69748">
      <w:numFmt w:val="bullet"/>
      <w:lvlText w:val="•"/>
      <w:lvlJc w:val="left"/>
      <w:pPr>
        <w:ind w:left="6010" w:hanging="351"/>
      </w:pPr>
      <w:rPr>
        <w:rFonts w:hint="default"/>
        <w:lang w:val="en-US" w:eastAsia="en-US" w:bidi="en-US"/>
      </w:rPr>
    </w:lvl>
    <w:lvl w:ilvl="6" w:tplc="0C5A5618">
      <w:numFmt w:val="bullet"/>
      <w:lvlText w:val="•"/>
      <w:lvlJc w:val="left"/>
      <w:pPr>
        <w:ind w:left="7008" w:hanging="351"/>
      </w:pPr>
      <w:rPr>
        <w:rFonts w:hint="default"/>
        <w:lang w:val="en-US" w:eastAsia="en-US" w:bidi="en-US"/>
      </w:rPr>
    </w:lvl>
    <w:lvl w:ilvl="7" w:tplc="44C6DCAC">
      <w:numFmt w:val="bullet"/>
      <w:lvlText w:val="•"/>
      <w:lvlJc w:val="left"/>
      <w:pPr>
        <w:ind w:left="8006" w:hanging="351"/>
      </w:pPr>
      <w:rPr>
        <w:rFonts w:hint="default"/>
        <w:lang w:val="en-US" w:eastAsia="en-US" w:bidi="en-US"/>
      </w:rPr>
    </w:lvl>
    <w:lvl w:ilvl="8" w:tplc="3AB0F9D4">
      <w:numFmt w:val="bullet"/>
      <w:lvlText w:val="•"/>
      <w:lvlJc w:val="left"/>
      <w:pPr>
        <w:ind w:left="9004" w:hanging="351"/>
      </w:pPr>
      <w:rPr>
        <w:rFonts w:hint="default"/>
        <w:lang w:val="en-US" w:eastAsia="en-US" w:bidi="en-US"/>
      </w:rPr>
    </w:lvl>
  </w:abstractNum>
  <w:num w:numId="1" w16cid:durableId="174398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325"/>
    <w:rsid w:val="005C4279"/>
    <w:rsid w:val="008419B8"/>
    <w:rsid w:val="00A64EE7"/>
    <w:rsid w:val="00A66EA3"/>
    <w:rsid w:val="00B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9A3A0B"/>
  <w15:docId w15:val="{D190D7BF-B738-4677-A4B4-2DB2D99A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4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BB0F6FB6C3A47BF9CA357C6B2C302" ma:contentTypeVersion="16" ma:contentTypeDescription="Create a new document." ma:contentTypeScope="" ma:versionID="fc33cfe92fd45deafe48c15e90fd1195">
  <xsd:schema xmlns:xsd="http://www.w3.org/2001/XMLSchema" xmlns:xs="http://www.w3.org/2001/XMLSchema" xmlns:p="http://schemas.microsoft.com/office/2006/metadata/properties" xmlns:ns2="7222908e-05d2-4b6d-a808-4296eb18a38c" xmlns:ns3="236c5fd1-edd5-486e-b408-c2318b28e632" targetNamespace="http://schemas.microsoft.com/office/2006/metadata/properties" ma:root="true" ma:fieldsID="f9d0a0c43f5699a0a3ac067e43638a87" ns2:_="" ns3:_="">
    <xsd:import namespace="7222908e-05d2-4b6d-a808-4296eb18a38c"/>
    <xsd:import namespace="236c5fd1-edd5-486e-b408-c2318b28e6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2908e-05d2-4b6d-a808-4296eb18a3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1e0429-0b27-4810-b24a-d03bc4494d0e}" ma:internalName="TaxCatchAll" ma:showField="CatchAllData" ma:web="7222908e-05d2-4b6d-a808-4296eb18a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c5fd1-edd5-486e-b408-c2318b2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d00178-138d-4a4d-9e01-a09aa767b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2908e-05d2-4b6d-a808-4296eb18a38c" xsi:nil="true"/>
    <lcf76f155ced4ddcb4097134ff3c332f xmlns="236c5fd1-edd5-486e-b408-c2318b28e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5B0652-2030-4607-A336-EEC395738D70}"/>
</file>

<file path=customXml/itemProps2.xml><?xml version="1.0" encoding="utf-8"?>
<ds:datastoreItem xmlns:ds="http://schemas.openxmlformats.org/officeDocument/2006/customXml" ds:itemID="{016ADDE2-3058-498A-B3DF-70C89E26CC11}"/>
</file>

<file path=customXml/itemProps3.xml><?xml version="1.0" encoding="utf-8"?>
<ds:datastoreItem xmlns:ds="http://schemas.openxmlformats.org/officeDocument/2006/customXml" ds:itemID="{B24DC648-0F01-4513-997C-30BDC443E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4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garym</dc:creator>
  <cp:lastModifiedBy>Taylor Scott</cp:lastModifiedBy>
  <cp:revision>2</cp:revision>
  <dcterms:created xsi:type="dcterms:W3CDTF">2022-11-14T18:19:00Z</dcterms:created>
  <dcterms:modified xsi:type="dcterms:W3CDTF">2022-11-14T18:19:00Z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2022-07-25T00:00:00Z</vt:filetime>
  </property>
  <property fmtid="{D5CDD505-2E9C-101B-9397-08002B2CF9AE}" pid="5" name="ContentTypeId">
    <vt:lpwstr>0x0101008A2BB0F6FB6C3A47BF9CA357C6B2C302</vt:lpwstr>
  </property>
</Properties>
</file>