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C97B" w14:textId="77777777" w:rsidR="00D47E7A" w:rsidRDefault="00D47E7A">
      <w:pPr>
        <w:spacing w:before="1"/>
        <w:rPr>
          <w:sz w:val="20"/>
        </w:rPr>
      </w:pPr>
    </w:p>
    <w:p w14:paraId="227B5ED6" w14:textId="77777777" w:rsidR="00D47E7A" w:rsidRDefault="00D47E7A">
      <w:pPr>
        <w:pStyle w:val="BodyText"/>
        <w:rPr>
          <w:rFonts w:ascii="Arial"/>
        </w:rPr>
      </w:pPr>
    </w:p>
    <w:p w14:paraId="71F200A5" w14:textId="77777777" w:rsidR="00D47E7A" w:rsidRDefault="00D47E7A">
      <w:pPr>
        <w:pStyle w:val="BodyText"/>
        <w:rPr>
          <w:rFonts w:ascii="Arial"/>
        </w:rPr>
      </w:pPr>
    </w:p>
    <w:p w14:paraId="6C0FB007" w14:textId="77777777" w:rsidR="00D47E7A" w:rsidRDefault="00D47E7A">
      <w:pPr>
        <w:pStyle w:val="BodyText"/>
        <w:rPr>
          <w:rFonts w:ascii="Arial"/>
        </w:rPr>
      </w:pPr>
    </w:p>
    <w:p w14:paraId="30E0E093" w14:textId="77777777" w:rsidR="00D47E7A" w:rsidRDefault="00D47E7A">
      <w:pPr>
        <w:pStyle w:val="BodyText"/>
        <w:spacing w:before="1"/>
        <w:rPr>
          <w:rFonts w:ascii="Arial"/>
          <w:sz w:val="16"/>
        </w:rPr>
      </w:pPr>
    </w:p>
    <w:p w14:paraId="3E142DC3" w14:textId="1EE76613" w:rsidR="00D47E7A" w:rsidRDefault="00562CBD">
      <w:pPr>
        <w:spacing w:before="36"/>
        <w:ind w:left="1931"/>
        <w:rPr>
          <w:rFonts w:ascii="Calibri"/>
          <w:b/>
          <w:sz w:val="32"/>
        </w:rPr>
      </w:pPr>
      <w:r>
        <w:rPr>
          <w:rFonts w:ascii="Calibri"/>
          <w:b/>
          <w:sz w:val="32"/>
        </w:rPr>
        <w:t>Property Owner Pool Barrier Acknowledgement Form</w:t>
      </w:r>
    </w:p>
    <w:p w14:paraId="2E43ABEA" w14:textId="77777777" w:rsidR="00795BA1" w:rsidRDefault="00795BA1">
      <w:pPr>
        <w:spacing w:before="36"/>
        <w:ind w:left="1931"/>
        <w:rPr>
          <w:rFonts w:ascii="Calibri"/>
          <w:b/>
          <w:sz w:val="32"/>
        </w:rPr>
      </w:pPr>
    </w:p>
    <w:p w14:paraId="272C5AD2" w14:textId="7DA623BE" w:rsidR="00D47E7A" w:rsidRPr="00795BA1" w:rsidRDefault="00795BA1" w:rsidP="00795BA1">
      <w:pPr>
        <w:pStyle w:val="BodyText"/>
        <w:jc w:val="center"/>
        <w:rPr>
          <w:rFonts w:ascii="Calibri"/>
          <w:b/>
          <w:color w:val="FF0000"/>
          <w:sz w:val="32"/>
        </w:rPr>
      </w:pPr>
      <w:r w:rsidRPr="00795BA1">
        <w:rPr>
          <w:rFonts w:ascii="Calibri"/>
          <w:b/>
          <w:color w:val="FF0000"/>
          <w:sz w:val="32"/>
        </w:rPr>
        <w:t>ORSC R329</w:t>
      </w:r>
    </w:p>
    <w:p w14:paraId="69B61A45" w14:textId="7526EEA5" w:rsidR="00795BA1" w:rsidRDefault="00795BA1" w:rsidP="00795BA1">
      <w:pPr>
        <w:pStyle w:val="BodyText"/>
        <w:jc w:val="center"/>
        <w:rPr>
          <w:rFonts w:ascii="Calibri"/>
          <w:b/>
          <w:sz w:val="32"/>
        </w:rPr>
      </w:pPr>
      <w:r>
        <w:rPr>
          <w:rFonts w:ascii="Calibri"/>
          <w:b/>
          <w:sz w:val="32"/>
        </w:rPr>
        <w:t>Swimming Pools, Spas and Hot Tubs</w:t>
      </w:r>
    </w:p>
    <w:p w14:paraId="4191E6DD" w14:textId="77777777" w:rsidR="00806F27" w:rsidRDefault="00806F27" w:rsidP="00795BA1">
      <w:pPr>
        <w:pStyle w:val="BodyText"/>
        <w:rPr>
          <w:rFonts w:ascii="Calibri"/>
          <w:b/>
          <w:color w:val="FF0000"/>
          <w:sz w:val="24"/>
          <w:szCs w:val="24"/>
        </w:rPr>
      </w:pPr>
      <w:r w:rsidRPr="00806F27">
        <w:rPr>
          <w:rFonts w:ascii="Calibri"/>
          <w:b/>
          <w:color w:val="FF0000"/>
          <w:sz w:val="24"/>
          <w:szCs w:val="24"/>
        </w:rPr>
        <w:t xml:space="preserve">R329.1 General </w:t>
      </w:r>
      <w:r w:rsidRPr="00806F27">
        <w:rPr>
          <w:rFonts w:ascii="Calibri"/>
          <w:b/>
          <w:color w:val="FF0000"/>
          <w:sz w:val="24"/>
          <w:szCs w:val="24"/>
        </w:rPr>
        <w:t>–</w:t>
      </w:r>
      <w:r w:rsidRPr="00806F27">
        <w:rPr>
          <w:rFonts w:ascii="Calibri"/>
          <w:b/>
          <w:color w:val="FF0000"/>
          <w:sz w:val="24"/>
          <w:szCs w:val="24"/>
        </w:rPr>
        <w:t xml:space="preserve"> The design and construction of barriers for residential swimming pools which are accessory to four or fewer dwelling units shall comply with the applicable provisions of the International Swimming Pool and Spa Code.</w:t>
      </w:r>
      <w:r>
        <w:rPr>
          <w:rFonts w:ascii="Calibri"/>
          <w:b/>
          <w:color w:val="FF0000"/>
          <w:sz w:val="24"/>
          <w:szCs w:val="24"/>
        </w:rPr>
        <w:t xml:space="preserve">  </w:t>
      </w:r>
    </w:p>
    <w:p w14:paraId="17FF01AC" w14:textId="77777777" w:rsidR="00806F27" w:rsidRDefault="00806F27" w:rsidP="00795BA1">
      <w:pPr>
        <w:pStyle w:val="BodyText"/>
        <w:rPr>
          <w:rFonts w:ascii="Calibri"/>
          <w:b/>
          <w:color w:val="FF0000"/>
          <w:sz w:val="24"/>
          <w:szCs w:val="24"/>
        </w:rPr>
      </w:pPr>
    </w:p>
    <w:p w14:paraId="719E2A72" w14:textId="56E3A40E" w:rsidR="00795BA1" w:rsidRPr="00806F27" w:rsidRDefault="00562CBD" w:rsidP="00795BA1">
      <w:pPr>
        <w:pStyle w:val="BodyText"/>
        <w:rPr>
          <w:rFonts w:ascii="Calibri"/>
          <w:b/>
          <w:color w:val="FF0000"/>
          <w:sz w:val="24"/>
          <w:szCs w:val="24"/>
        </w:rPr>
      </w:pPr>
      <w:hyperlink r:id="rId5" w:history="1">
        <w:r w:rsidR="00806F27" w:rsidRPr="00806F27">
          <w:rPr>
            <w:rStyle w:val="Hyperlink"/>
            <w:rFonts w:ascii="Calibri"/>
            <w:b/>
            <w:sz w:val="24"/>
            <w:szCs w:val="24"/>
          </w:rPr>
          <w:t>https://codes.iccsafe.org/content/ISPSC2021P1/chapter-3-general-compliance#ISPSC2021P1_Ch03_Sec305</w:t>
        </w:r>
      </w:hyperlink>
    </w:p>
    <w:p w14:paraId="6BA500FB" w14:textId="0CA56DC6" w:rsidR="00D47E7A" w:rsidRDefault="00D47E7A" w:rsidP="00795BA1">
      <w:pPr>
        <w:pStyle w:val="BodyText"/>
        <w:spacing w:before="3"/>
        <w:jc w:val="center"/>
        <w:rPr>
          <w:rFonts w:ascii="Calibri"/>
          <w:b/>
          <w:sz w:val="31"/>
        </w:rPr>
      </w:pPr>
    </w:p>
    <w:p w14:paraId="2BFA9AF7" w14:textId="77777777" w:rsidR="00FC40FE" w:rsidRDefault="00FC40FE">
      <w:pPr>
        <w:pStyle w:val="Heading1"/>
      </w:pPr>
    </w:p>
    <w:p w14:paraId="34237D18" w14:textId="3A9973C2" w:rsidR="00D47E7A" w:rsidRDefault="00562CBD">
      <w:pPr>
        <w:pStyle w:val="Heading1"/>
      </w:pPr>
      <w:r>
        <w:t>Dear Property Owner,</w:t>
      </w:r>
    </w:p>
    <w:p w14:paraId="5082C860" w14:textId="70009F12" w:rsidR="00D47E7A" w:rsidRDefault="00562CBD">
      <w:pPr>
        <w:spacing w:before="182" w:line="259" w:lineRule="auto"/>
        <w:ind w:left="760" w:right="744"/>
        <w:rPr>
          <w:rFonts w:ascii="Calibri"/>
        </w:rPr>
      </w:pPr>
      <w:r>
        <w:rPr>
          <w:rFonts w:ascii="Calibri"/>
        </w:rPr>
        <w:t xml:space="preserve">Thank you for </w:t>
      </w:r>
      <w:r>
        <w:rPr>
          <w:rFonts w:ascii="Calibri"/>
        </w:rPr>
        <w:t>working with the Building Department to secure the necessary permits to construct a swimming pool and pool barrier.</w:t>
      </w:r>
    </w:p>
    <w:p w14:paraId="444DEFBB" w14:textId="77777777" w:rsidR="00D47E7A" w:rsidRDefault="00562CBD">
      <w:pPr>
        <w:spacing w:before="159" w:line="259" w:lineRule="auto"/>
        <w:ind w:left="760" w:right="769"/>
        <w:rPr>
          <w:rFonts w:ascii="Calibri"/>
        </w:rPr>
      </w:pPr>
      <w:r>
        <w:rPr>
          <w:rFonts w:ascii="Calibri"/>
        </w:rPr>
        <w:t>Due to the hazardous nature of swimming pools to the property owner and surrounding neighbors, the State of Oregon mandates adequate pool ba</w:t>
      </w:r>
      <w:r>
        <w:rPr>
          <w:rFonts w:ascii="Calibri"/>
        </w:rPr>
        <w:t>rriers be in place to enclose swimming pools.</w:t>
      </w:r>
    </w:p>
    <w:p w14:paraId="7CF29F23" w14:textId="77777777" w:rsidR="00D47E7A" w:rsidRDefault="00562CBD">
      <w:pPr>
        <w:spacing w:before="160" w:line="259" w:lineRule="auto"/>
        <w:ind w:left="760" w:right="878"/>
        <w:rPr>
          <w:rFonts w:ascii="Calibri"/>
        </w:rPr>
      </w:pPr>
      <w:r>
        <w:rPr>
          <w:rFonts w:ascii="Calibri"/>
        </w:rPr>
        <w:t>Contractors do not always include the construction of pool barriers in their contract. As a result, often pool barriers are not constructed adequately to protect from accidental drownings.</w:t>
      </w:r>
    </w:p>
    <w:p w14:paraId="02D0097D" w14:textId="5B85E470" w:rsidR="00D47E7A" w:rsidRDefault="00562CBD">
      <w:pPr>
        <w:spacing w:before="159" w:line="259" w:lineRule="auto"/>
        <w:ind w:left="760" w:right="679"/>
        <w:rPr>
          <w:rFonts w:ascii="Calibri"/>
        </w:rPr>
      </w:pPr>
      <w:r>
        <w:rPr>
          <w:rFonts w:ascii="Calibri"/>
        </w:rPr>
        <w:t>Pool barriers are a requirement for final approval of the swimming pool permit process. Ultimately, the responsibility of the pool and barrier placement belong to the property owner regardless of who applies for the permit. Once the pool construction is co</w:t>
      </w:r>
      <w:r>
        <w:rPr>
          <w:rFonts w:ascii="Calibri"/>
        </w:rPr>
        <w:t xml:space="preserve">mplete, pool barriers shall be in place and the Building Department shall be notified for inspection. Pool, mechanical, </w:t>
      </w:r>
      <w:proofErr w:type="gramStart"/>
      <w:r>
        <w:rPr>
          <w:rFonts w:ascii="Calibri"/>
        </w:rPr>
        <w:t>plumbing</w:t>
      </w:r>
      <w:proofErr w:type="gramEnd"/>
      <w:r>
        <w:rPr>
          <w:rFonts w:ascii="Calibri"/>
        </w:rPr>
        <w:t xml:space="preserve"> and electrical inspections shall all be scheduled as applicable to the project. Failure to schedule an inspection for the pool </w:t>
      </w:r>
      <w:r>
        <w:rPr>
          <w:rFonts w:ascii="Calibri"/>
        </w:rPr>
        <w:t>and pool barrier upon completion of construction may result in fines assessed to the property owner.</w:t>
      </w:r>
    </w:p>
    <w:p w14:paraId="0208B8FC" w14:textId="77777777" w:rsidR="00D47E7A" w:rsidRDefault="00562CBD">
      <w:pPr>
        <w:spacing w:line="259" w:lineRule="auto"/>
        <w:ind w:left="760" w:right="1170"/>
        <w:rPr>
          <w:rFonts w:ascii="Calibri"/>
        </w:rPr>
      </w:pPr>
      <w:r>
        <w:rPr>
          <w:rFonts w:ascii="Calibri"/>
        </w:rPr>
        <w:t>Your signature represents your acknowledgment to comply with the pool barrier codes and permit process.</w:t>
      </w:r>
    </w:p>
    <w:p w14:paraId="23AD5459" w14:textId="77777777" w:rsidR="00D47E7A" w:rsidRDefault="00D47E7A">
      <w:pPr>
        <w:pStyle w:val="BodyText"/>
        <w:rPr>
          <w:rFonts w:ascii="Calibri"/>
        </w:rPr>
      </w:pPr>
    </w:p>
    <w:p w14:paraId="4B8998AB" w14:textId="77777777" w:rsidR="00D47E7A" w:rsidRDefault="00D47E7A">
      <w:pPr>
        <w:pStyle w:val="BodyText"/>
        <w:rPr>
          <w:rFonts w:ascii="Calibri"/>
        </w:rPr>
      </w:pPr>
    </w:p>
    <w:p w14:paraId="78B2AF1C" w14:textId="77777777" w:rsidR="00D47E7A" w:rsidRDefault="00D47E7A">
      <w:pPr>
        <w:pStyle w:val="BodyText"/>
        <w:rPr>
          <w:rFonts w:ascii="Calibri"/>
        </w:rPr>
      </w:pPr>
    </w:p>
    <w:p w14:paraId="79F4C0F3" w14:textId="77777777" w:rsidR="00D47E7A" w:rsidRDefault="00D47E7A">
      <w:pPr>
        <w:pStyle w:val="BodyText"/>
        <w:rPr>
          <w:rFonts w:ascii="Calibri"/>
        </w:rPr>
      </w:pPr>
    </w:p>
    <w:p w14:paraId="3D9B2D2D" w14:textId="77777777" w:rsidR="00D47E7A" w:rsidRDefault="00D47E7A">
      <w:pPr>
        <w:pStyle w:val="BodyText"/>
        <w:rPr>
          <w:rFonts w:ascii="Calibri"/>
        </w:rPr>
      </w:pPr>
    </w:p>
    <w:p w14:paraId="0520FDC7" w14:textId="77777777" w:rsidR="00D47E7A" w:rsidRDefault="00D47E7A">
      <w:pPr>
        <w:pStyle w:val="BodyText"/>
        <w:rPr>
          <w:rFonts w:ascii="Calibri"/>
        </w:rPr>
      </w:pPr>
    </w:p>
    <w:p w14:paraId="5DB47A62" w14:textId="77777777" w:rsidR="00D47E7A" w:rsidRDefault="00D47E7A">
      <w:pPr>
        <w:pStyle w:val="BodyText"/>
        <w:spacing w:before="9"/>
        <w:rPr>
          <w:rFonts w:ascii="Calibri"/>
          <w:sz w:val="16"/>
        </w:rPr>
      </w:pPr>
    </w:p>
    <w:p w14:paraId="6FC7D931" w14:textId="77777777" w:rsidR="00D47E7A" w:rsidRDefault="00562CBD">
      <w:pPr>
        <w:tabs>
          <w:tab w:val="left" w:pos="6368"/>
          <w:tab w:val="left" w:pos="6970"/>
          <w:tab w:val="left" w:pos="9958"/>
        </w:tabs>
        <w:ind w:left="760"/>
        <w:rPr>
          <w:rFonts w:ascii="Calibri"/>
        </w:rPr>
      </w:pPr>
      <w:r>
        <w:rPr>
          <w:rFonts w:ascii="Calibri"/>
        </w:rPr>
        <w:t>Property</w:t>
      </w:r>
      <w:r>
        <w:rPr>
          <w:rFonts w:ascii="Calibri"/>
          <w:spacing w:val="-3"/>
        </w:rPr>
        <w:t xml:space="preserve"> </w:t>
      </w:r>
      <w:r>
        <w:rPr>
          <w:rFonts w:ascii="Calibri"/>
        </w:rPr>
        <w:t>Owner</w:t>
      </w:r>
      <w:r>
        <w:rPr>
          <w:rFonts w:ascii="Calibri"/>
          <w:spacing w:val="-3"/>
        </w:rPr>
        <w:t xml:space="preserve"> </w:t>
      </w:r>
      <w:r>
        <w:rPr>
          <w:rFonts w:ascii="Calibri"/>
        </w:rPr>
        <w:t>Signature</w:t>
      </w:r>
      <w:r>
        <w:rPr>
          <w:rFonts w:ascii="Calibri"/>
          <w:u w:val="single"/>
        </w:rPr>
        <w:t xml:space="preserve"> </w:t>
      </w:r>
      <w:r>
        <w:rPr>
          <w:rFonts w:ascii="Calibri"/>
          <w:u w:val="single"/>
        </w:rPr>
        <w:tab/>
      </w:r>
      <w:r>
        <w:rPr>
          <w:rFonts w:ascii="Calibri"/>
        </w:rPr>
        <w:tab/>
        <w:t>Date</w:t>
      </w:r>
      <w:r>
        <w:rPr>
          <w:rFonts w:ascii="Calibri"/>
          <w:u w:val="single"/>
        </w:rPr>
        <w:t xml:space="preserve"> </w:t>
      </w:r>
      <w:r>
        <w:rPr>
          <w:rFonts w:ascii="Calibri"/>
          <w:u w:val="single"/>
        </w:rPr>
        <w:tab/>
      </w:r>
    </w:p>
    <w:p w14:paraId="118645ED" w14:textId="40EFF9D1" w:rsidR="00D47E7A" w:rsidRDefault="00D47E7A" w:rsidP="00806F27">
      <w:pPr>
        <w:spacing w:before="62"/>
        <w:ind w:left="2256" w:right="2148"/>
        <w:jc w:val="center"/>
        <w:rPr>
          <w:sz w:val="16"/>
        </w:rPr>
      </w:pPr>
    </w:p>
    <w:sectPr w:rsidR="00D47E7A" w:rsidSect="00806F27">
      <w:pgSz w:w="12240" w:h="15840"/>
      <w:pgMar w:top="1240" w:right="8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79D"/>
    <w:multiLevelType w:val="hybridMultilevel"/>
    <w:tmpl w:val="0F7ECD36"/>
    <w:lvl w:ilvl="0" w:tplc="1D5A9128">
      <w:start w:val="1"/>
      <w:numFmt w:val="decimal"/>
      <w:lvlText w:val="%1."/>
      <w:lvlJc w:val="left"/>
      <w:pPr>
        <w:ind w:left="804" w:hanging="227"/>
        <w:jc w:val="right"/>
      </w:pPr>
      <w:rPr>
        <w:rFonts w:hint="default"/>
        <w:spacing w:val="-1"/>
        <w:w w:val="87"/>
        <w:lang w:val="en-US" w:eastAsia="en-US" w:bidi="en-US"/>
      </w:rPr>
    </w:lvl>
    <w:lvl w:ilvl="1" w:tplc="385CA8FE">
      <w:numFmt w:val="bullet"/>
      <w:lvlText w:val="•"/>
      <w:lvlJc w:val="left"/>
      <w:pPr>
        <w:ind w:left="1259" w:hanging="227"/>
      </w:pPr>
      <w:rPr>
        <w:rFonts w:hint="default"/>
        <w:lang w:val="en-US" w:eastAsia="en-US" w:bidi="en-US"/>
      </w:rPr>
    </w:lvl>
    <w:lvl w:ilvl="2" w:tplc="AEBCEFEC">
      <w:numFmt w:val="bullet"/>
      <w:lvlText w:val="•"/>
      <w:lvlJc w:val="left"/>
      <w:pPr>
        <w:ind w:left="1718" w:hanging="227"/>
      </w:pPr>
      <w:rPr>
        <w:rFonts w:hint="default"/>
        <w:lang w:val="en-US" w:eastAsia="en-US" w:bidi="en-US"/>
      </w:rPr>
    </w:lvl>
    <w:lvl w:ilvl="3" w:tplc="EA9ABB22">
      <w:numFmt w:val="bullet"/>
      <w:lvlText w:val="•"/>
      <w:lvlJc w:val="left"/>
      <w:pPr>
        <w:ind w:left="2178" w:hanging="227"/>
      </w:pPr>
      <w:rPr>
        <w:rFonts w:hint="default"/>
        <w:lang w:val="en-US" w:eastAsia="en-US" w:bidi="en-US"/>
      </w:rPr>
    </w:lvl>
    <w:lvl w:ilvl="4" w:tplc="C1F206A8">
      <w:numFmt w:val="bullet"/>
      <w:lvlText w:val="•"/>
      <w:lvlJc w:val="left"/>
      <w:pPr>
        <w:ind w:left="2637" w:hanging="227"/>
      </w:pPr>
      <w:rPr>
        <w:rFonts w:hint="default"/>
        <w:lang w:val="en-US" w:eastAsia="en-US" w:bidi="en-US"/>
      </w:rPr>
    </w:lvl>
    <w:lvl w:ilvl="5" w:tplc="A03C87AE">
      <w:numFmt w:val="bullet"/>
      <w:lvlText w:val="•"/>
      <w:lvlJc w:val="left"/>
      <w:pPr>
        <w:ind w:left="3096" w:hanging="227"/>
      </w:pPr>
      <w:rPr>
        <w:rFonts w:hint="default"/>
        <w:lang w:val="en-US" w:eastAsia="en-US" w:bidi="en-US"/>
      </w:rPr>
    </w:lvl>
    <w:lvl w:ilvl="6" w:tplc="A89E6132">
      <w:numFmt w:val="bullet"/>
      <w:lvlText w:val="•"/>
      <w:lvlJc w:val="left"/>
      <w:pPr>
        <w:ind w:left="3556" w:hanging="227"/>
      </w:pPr>
      <w:rPr>
        <w:rFonts w:hint="default"/>
        <w:lang w:val="en-US" w:eastAsia="en-US" w:bidi="en-US"/>
      </w:rPr>
    </w:lvl>
    <w:lvl w:ilvl="7" w:tplc="478C4CB2">
      <w:numFmt w:val="bullet"/>
      <w:lvlText w:val="•"/>
      <w:lvlJc w:val="left"/>
      <w:pPr>
        <w:ind w:left="4015" w:hanging="227"/>
      </w:pPr>
      <w:rPr>
        <w:rFonts w:hint="default"/>
        <w:lang w:val="en-US" w:eastAsia="en-US" w:bidi="en-US"/>
      </w:rPr>
    </w:lvl>
    <w:lvl w:ilvl="8" w:tplc="CDBA0D52">
      <w:numFmt w:val="bullet"/>
      <w:lvlText w:val="•"/>
      <w:lvlJc w:val="left"/>
      <w:pPr>
        <w:ind w:left="4475" w:hanging="227"/>
      </w:pPr>
      <w:rPr>
        <w:rFonts w:hint="default"/>
        <w:lang w:val="en-US" w:eastAsia="en-US" w:bidi="en-US"/>
      </w:rPr>
    </w:lvl>
  </w:abstractNum>
  <w:abstractNum w:abstractNumId="1" w15:restartNumberingAfterBreak="0">
    <w:nsid w:val="773E554C"/>
    <w:multiLevelType w:val="multilevel"/>
    <w:tmpl w:val="1F0EA882"/>
    <w:lvl w:ilvl="0">
      <w:start w:val="7"/>
      <w:numFmt w:val="decimal"/>
      <w:lvlText w:val="%1."/>
      <w:lvlJc w:val="left"/>
      <w:pPr>
        <w:ind w:left="742" w:hanging="265"/>
        <w:jc w:val="left"/>
      </w:pPr>
      <w:rPr>
        <w:rFonts w:hint="default"/>
        <w:w w:val="95"/>
        <w:lang w:val="en-US" w:eastAsia="en-US" w:bidi="en-US"/>
      </w:rPr>
    </w:lvl>
    <w:lvl w:ilvl="1">
      <w:start w:val="1"/>
      <w:numFmt w:val="decimal"/>
      <w:lvlText w:val="%1.%2."/>
      <w:lvlJc w:val="left"/>
      <w:pPr>
        <w:ind w:left="1633" w:hanging="458"/>
        <w:jc w:val="left"/>
      </w:pPr>
      <w:rPr>
        <w:rFonts w:hint="default"/>
        <w:spacing w:val="-1"/>
        <w:w w:val="91"/>
        <w:lang w:val="en-US" w:eastAsia="en-US" w:bidi="en-US"/>
      </w:rPr>
    </w:lvl>
    <w:lvl w:ilvl="2">
      <w:numFmt w:val="bullet"/>
      <w:lvlText w:val="•"/>
      <w:lvlJc w:val="left"/>
      <w:pPr>
        <w:ind w:left="1500" w:hanging="458"/>
      </w:pPr>
      <w:rPr>
        <w:rFonts w:hint="default"/>
        <w:lang w:val="en-US" w:eastAsia="en-US" w:bidi="en-US"/>
      </w:rPr>
    </w:lvl>
    <w:lvl w:ilvl="3">
      <w:numFmt w:val="bullet"/>
      <w:lvlText w:val="•"/>
      <w:lvlJc w:val="left"/>
      <w:pPr>
        <w:ind w:left="1640" w:hanging="458"/>
      </w:pPr>
      <w:rPr>
        <w:rFonts w:hint="default"/>
        <w:lang w:val="en-US" w:eastAsia="en-US" w:bidi="en-US"/>
      </w:rPr>
    </w:lvl>
    <w:lvl w:ilvl="4">
      <w:numFmt w:val="bullet"/>
      <w:lvlText w:val="•"/>
      <w:lvlJc w:val="left"/>
      <w:pPr>
        <w:ind w:left="2143" w:hanging="458"/>
      </w:pPr>
      <w:rPr>
        <w:rFonts w:hint="default"/>
        <w:lang w:val="en-US" w:eastAsia="en-US" w:bidi="en-US"/>
      </w:rPr>
    </w:lvl>
    <w:lvl w:ilvl="5">
      <w:numFmt w:val="bullet"/>
      <w:lvlText w:val="•"/>
      <w:lvlJc w:val="left"/>
      <w:pPr>
        <w:ind w:left="2646" w:hanging="458"/>
      </w:pPr>
      <w:rPr>
        <w:rFonts w:hint="default"/>
        <w:lang w:val="en-US" w:eastAsia="en-US" w:bidi="en-US"/>
      </w:rPr>
    </w:lvl>
    <w:lvl w:ilvl="6">
      <w:numFmt w:val="bullet"/>
      <w:lvlText w:val="•"/>
      <w:lvlJc w:val="left"/>
      <w:pPr>
        <w:ind w:left="3149" w:hanging="458"/>
      </w:pPr>
      <w:rPr>
        <w:rFonts w:hint="default"/>
        <w:lang w:val="en-US" w:eastAsia="en-US" w:bidi="en-US"/>
      </w:rPr>
    </w:lvl>
    <w:lvl w:ilvl="7">
      <w:numFmt w:val="bullet"/>
      <w:lvlText w:val="•"/>
      <w:lvlJc w:val="left"/>
      <w:pPr>
        <w:ind w:left="3652" w:hanging="458"/>
      </w:pPr>
      <w:rPr>
        <w:rFonts w:hint="default"/>
        <w:lang w:val="en-US" w:eastAsia="en-US" w:bidi="en-US"/>
      </w:rPr>
    </w:lvl>
    <w:lvl w:ilvl="8">
      <w:numFmt w:val="bullet"/>
      <w:lvlText w:val="•"/>
      <w:lvlJc w:val="left"/>
      <w:pPr>
        <w:ind w:left="4156" w:hanging="458"/>
      </w:pPr>
      <w:rPr>
        <w:rFonts w:hint="default"/>
        <w:lang w:val="en-US" w:eastAsia="en-US" w:bidi="en-US"/>
      </w:rPr>
    </w:lvl>
  </w:abstractNum>
  <w:num w:numId="1" w16cid:durableId="254441576">
    <w:abstractNumId w:val="1"/>
  </w:num>
  <w:num w:numId="2" w16cid:durableId="60176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A"/>
    <w:rsid w:val="00562CBD"/>
    <w:rsid w:val="00795BA1"/>
    <w:rsid w:val="00806F27"/>
    <w:rsid w:val="00D47E7A"/>
    <w:rsid w:val="00FC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C1C9"/>
  <w15:docId w15:val="{5DB5E9EA-08A2-4D38-80D1-69E68DE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60"/>
      <w:outlineLvl w:val="0"/>
    </w:pPr>
    <w:rPr>
      <w:rFonts w:ascii="Calibri" w:eastAsia="Calibri" w:hAnsi="Calibri" w:cs="Calibri"/>
    </w:rPr>
  </w:style>
  <w:style w:type="paragraph" w:styleId="Heading2">
    <w:name w:val="heading 2"/>
    <w:basedOn w:val="Normal"/>
    <w:uiPriority w:val="9"/>
    <w:unhideWhenUsed/>
    <w:qFormat/>
    <w:pPr>
      <w:spacing w:line="240" w:lineRule="exact"/>
      <w:ind w:left="281"/>
      <w:outlineLvl w:val="1"/>
    </w:pPr>
    <w:rPr>
      <w:sz w:val="21"/>
      <w:szCs w:val="21"/>
    </w:rPr>
  </w:style>
  <w:style w:type="paragraph" w:styleId="Heading3">
    <w:name w:val="heading 3"/>
    <w:basedOn w:val="Normal"/>
    <w:uiPriority w:val="9"/>
    <w:unhideWhenUsed/>
    <w:qFormat/>
    <w:pPr>
      <w:ind w:left="192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0"/>
      <w:szCs w:val="20"/>
    </w:rPr>
  </w:style>
  <w:style w:type="paragraph" w:styleId="ListParagraph">
    <w:name w:val="List Paragraph"/>
    <w:basedOn w:val="Normal"/>
    <w:uiPriority w:val="1"/>
    <w:qFormat/>
    <w:pPr>
      <w:spacing w:before="59"/>
      <w:ind w:left="824" w:hanging="360"/>
      <w:jc w:val="both"/>
    </w:pPr>
    <w:rPr>
      <w:rFonts w:ascii="Cambria" w:eastAsia="Cambria" w:hAnsi="Cambria" w:cs="Cambr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6F27"/>
    <w:rPr>
      <w:color w:val="0000FF" w:themeColor="hyperlink"/>
      <w:u w:val="single"/>
    </w:rPr>
  </w:style>
  <w:style w:type="character" w:styleId="UnresolvedMention">
    <w:name w:val="Unresolved Mention"/>
    <w:basedOn w:val="DefaultParagraphFont"/>
    <w:uiPriority w:val="99"/>
    <w:semiHidden/>
    <w:unhideWhenUsed/>
    <w:rsid w:val="00806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s.iccsafe.org/content/ISPSC2021P1/chapter-3-general-compliance%23ISPSC2021P1_Ch03_Sec305"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BB0F6FB6C3A47BF9CA357C6B2C302" ma:contentTypeVersion="16" ma:contentTypeDescription="Create a new document." ma:contentTypeScope="" ma:versionID="fc33cfe92fd45deafe48c15e90fd1195">
  <xsd:schema xmlns:xsd="http://www.w3.org/2001/XMLSchema" xmlns:xs="http://www.w3.org/2001/XMLSchema" xmlns:p="http://schemas.microsoft.com/office/2006/metadata/properties" xmlns:ns2="7222908e-05d2-4b6d-a808-4296eb18a38c" xmlns:ns3="236c5fd1-edd5-486e-b408-c2318b28e632" targetNamespace="http://schemas.microsoft.com/office/2006/metadata/properties" ma:root="true" ma:fieldsID="f9d0a0c43f5699a0a3ac067e43638a87" ns2:_="" ns3:_="">
    <xsd:import namespace="7222908e-05d2-4b6d-a808-4296eb18a38c"/>
    <xsd:import namespace="236c5fd1-edd5-486e-b408-c2318b28e6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908e-05d2-4b6d-a808-4296eb18a3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1e0429-0b27-4810-b24a-d03bc4494d0e}" ma:internalName="TaxCatchAll" ma:showField="CatchAllData" ma:web="7222908e-05d2-4b6d-a808-4296eb18a3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c5fd1-edd5-486e-b408-c2318b28e6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00178-138d-4a4d-9e01-a09aa767b1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39D9F-AAC3-4ACA-AC8C-ECE74491CDCF}"/>
</file>

<file path=customXml/itemProps2.xml><?xml version="1.0" encoding="utf-8"?>
<ds:datastoreItem xmlns:ds="http://schemas.openxmlformats.org/officeDocument/2006/customXml" ds:itemID="{058E2D5B-245F-45CC-ABDB-FA52639D1582}"/>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E. Wiltrout</dc:creator>
  <cp:lastModifiedBy>Taylor Scott</cp:lastModifiedBy>
  <cp:revision>2</cp:revision>
  <dcterms:created xsi:type="dcterms:W3CDTF">2022-11-14T18:00:00Z</dcterms:created>
  <dcterms:modified xsi:type="dcterms:W3CDTF">2022-11-14T18:00:00Z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Office Word</vt:lpwstr>
  </property>
  <property fmtid="{D5CDD505-2E9C-101B-9397-08002B2CF9AE}" pid="4" name="LastSaved">
    <vt:filetime>2022-07-25T00:00:00Z</vt:filetime>
  </property>
</Properties>
</file>